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distribute"/>
        <w:rPr>
          <w:rFonts w:ascii="华文中宋" w:hAnsi="宋体" w:eastAsia="华文中宋"/>
          <w:color w:val="FF0000"/>
          <w:spacing w:val="-28"/>
          <w:w w:val="35"/>
          <w:sz w:val="84"/>
          <w:szCs w:val="84"/>
        </w:rPr>
      </w:pPr>
      <w:bookmarkStart w:id="0" w:name="_GoBack"/>
      <w:bookmarkEnd w:id="0"/>
      <w:r>
        <w:rPr>
          <w:rFonts w:hint="eastAsia" w:ascii="华文中宋" w:hAnsi="宋体" w:eastAsia="华文中宋"/>
          <w:color w:val="FF0000"/>
          <w:spacing w:val="-28"/>
          <w:w w:val="35"/>
          <w:sz w:val="84"/>
          <w:szCs w:val="84"/>
        </w:rPr>
        <w:t>绍兴市上虞区新型冠状病毒肺炎疫情防控工作领导小组办公室文件</w:t>
      </w:r>
    </w:p>
    <w:p>
      <w:pPr>
        <w:spacing w:line="560" w:lineRule="exact"/>
        <w:jc w:val="center"/>
        <w:rPr>
          <w:rFonts w:ascii="仿宋_GB2312" w:eastAsia="仿宋_GB2312"/>
          <w:sz w:val="32"/>
          <w:szCs w:val="32"/>
        </w:rPr>
      </w:pPr>
    </w:p>
    <w:p>
      <w:pPr>
        <w:spacing w:line="560" w:lineRule="exact"/>
        <w:jc w:val="center"/>
        <w:rPr>
          <w:rFonts w:ascii="仿宋_GB2312" w:eastAsia="仿宋_GB2312"/>
          <w:sz w:val="32"/>
          <w:szCs w:val="32"/>
        </w:rPr>
      </w:pPr>
      <w:r>
        <w:rPr>
          <w:rFonts w:hint="eastAsia" w:ascii="仿宋_GB2312" w:eastAsia="仿宋_GB2312"/>
          <w:sz w:val="32"/>
          <w:szCs w:val="32"/>
        </w:rPr>
        <w:t>虞防控办〔</w:t>
      </w:r>
      <w:r>
        <w:rPr>
          <w:rFonts w:ascii="仿宋_GB2312" w:eastAsia="仿宋_GB2312"/>
          <w:sz w:val="32"/>
          <w:szCs w:val="32"/>
        </w:rPr>
        <w:t>202</w:t>
      </w:r>
      <w:r>
        <w:rPr>
          <w:rFonts w:hint="eastAsia" w:ascii="仿宋_GB2312" w:eastAsia="仿宋_GB2312"/>
          <w:sz w:val="32"/>
          <w:szCs w:val="32"/>
        </w:rPr>
        <w:t>2〕</w:t>
      </w:r>
      <w:r>
        <w:rPr>
          <w:rFonts w:hint="eastAsia" w:ascii="仿宋_GB2312" w:eastAsia="仿宋_GB2312"/>
          <w:sz w:val="32"/>
          <w:szCs w:val="32"/>
          <w:lang w:val="en-US" w:eastAsia="zh-CN"/>
        </w:rPr>
        <w:t>106</w:t>
      </w:r>
      <w:r>
        <w:rPr>
          <w:rFonts w:hint="eastAsia" w:ascii="仿宋_GB2312" w:eastAsia="仿宋_GB2312"/>
          <w:sz w:val="32"/>
          <w:szCs w:val="32"/>
        </w:rPr>
        <w:t>号</w:t>
      </w:r>
    </w:p>
    <w:p>
      <w:pPr>
        <w:spacing w:line="560" w:lineRule="exact"/>
        <w:jc w:val="center"/>
        <w:rPr>
          <w:rFonts w:ascii="仿宋" w:hAnsi="仿宋" w:eastAsia="仿宋" w:cs="仿宋"/>
          <w:sz w:val="32"/>
          <w:szCs w:val="32"/>
        </w:rPr>
      </w:pPr>
      <w:r>
        <mc:AlternateContent>
          <mc:Choice Requires="wps">
            <w:drawing>
              <wp:anchor distT="0" distB="0" distL="114300" distR="114300" simplePos="0" relativeHeight="251659264" behindDoc="0" locked="0" layoutInCell="1" allowOverlap="1">
                <wp:simplePos x="0" y="0"/>
                <wp:positionH relativeFrom="column">
                  <wp:posOffset>-161925</wp:posOffset>
                </wp:positionH>
                <wp:positionV relativeFrom="paragraph">
                  <wp:posOffset>183515</wp:posOffset>
                </wp:positionV>
                <wp:extent cx="5715000" cy="0"/>
                <wp:effectExtent l="0" t="13970" r="0" b="24130"/>
                <wp:wrapNone/>
                <wp:docPr id="2" name="直接连接符 2"/>
                <wp:cNvGraphicFramePr/>
                <a:graphic xmlns:a="http://schemas.openxmlformats.org/drawingml/2006/main">
                  <a:graphicData uri="http://schemas.microsoft.com/office/word/2010/wordprocessingShape">
                    <wps:wsp>
                      <wps:cNvCnPr/>
                      <wps:spPr>
                        <a:xfrm>
                          <a:off x="0" y="0"/>
                          <a:ext cx="5715000" cy="0"/>
                        </a:xfrm>
                        <a:prstGeom prst="line">
                          <a:avLst/>
                        </a:prstGeom>
                        <a:ln w="28575" cap="flat" cmpd="sng">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12.75pt;margin-top:14.45pt;height:0pt;width:450pt;z-index:251659264;mso-width-relative:page;mso-height-relative:page;" filled="f" stroked="t" coordsize="21600,21600" o:gfxdata="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FgAAAGRycy9QSwECFAAUAAAACACHTuJA&#10;yIyyA9YAAAAJAQAADwAAAAAAAAABACAAAAA4AAAAZHJzL2Rvd25yZXYueG1sUEsBAhQAFAAAAAgA&#10;h07iQKThVbnYAQAAmQMAAA4AAAAAAAAAAQAgAAAAOwEAAGRycy9lMm9Eb2MueG1sUEsFBgAAAAAG&#10;AAYAWQEAAIUFAAAAAA==&#10;">
                <v:fill on="f" focussize="0,0"/>
                <v:stroke weight="2.25pt" color="#FF0000" joinstyle="round"/>
                <v:imagedata o:title=""/>
                <o:lock v:ext="edit" aspectratio="f"/>
              </v:line>
            </w:pict>
          </mc:Fallback>
        </mc:AlternateContent>
      </w:r>
    </w:p>
    <w:p>
      <w:pPr>
        <w:spacing w:line="560" w:lineRule="exact"/>
        <w:jc w:val="center"/>
        <w:rPr>
          <w:rFonts w:hint="eastAsia" w:ascii="华文中宋" w:hAnsi="华文中宋" w:eastAsia="华文中宋" w:cs="方正小标宋_GBK"/>
          <w:b/>
          <w:sz w:val="44"/>
          <w:szCs w:val="44"/>
        </w:rPr>
      </w:pPr>
      <w:r>
        <w:rPr>
          <w:rFonts w:hint="eastAsia" w:ascii="华文中宋" w:hAnsi="华文中宋" w:eastAsia="华文中宋" w:cs="方正小标宋_GBK"/>
          <w:b/>
          <w:sz w:val="44"/>
          <w:szCs w:val="44"/>
        </w:rPr>
        <w:t>关于进一步规范进口冷链食品（进口水果）生产经营的指导意见</w:t>
      </w:r>
    </w:p>
    <w:p>
      <w:pPr>
        <w:spacing w:line="560" w:lineRule="exact"/>
        <w:rPr>
          <w:rFonts w:ascii="仿宋" w:hAnsi="仿宋" w:eastAsia="仿宋" w:cs="仿宋"/>
          <w:sz w:val="30"/>
          <w:szCs w:val="30"/>
        </w:rPr>
      </w:pPr>
    </w:p>
    <w:p>
      <w:pPr>
        <w:spacing w:line="560" w:lineRule="exact"/>
        <w:rPr>
          <w:rFonts w:ascii="仿宋" w:hAnsi="仿宋" w:eastAsia="仿宋" w:cs="仿宋"/>
          <w:sz w:val="32"/>
          <w:szCs w:val="32"/>
        </w:rPr>
      </w:pPr>
      <w:r>
        <w:rPr>
          <w:rFonts w:hint="eastAsia" w:ascii="仿宋" w:hAnsi="仿宋" w:eastAsia="仿宋" w:cs="仿宋"/>
          <w:sz w:val="32"/>
          <w:szCs w:val="32"/>
        </w:rPr>
        <w:t>各乡镇、街道、杭州湾综管办，各进口冷链食品（进口水果）生产经营单位：</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为切实加强进口冷链食品（进口水果）物防工作，进一步做好人员、物品、环境的“全受控，无遗漏”，有效防范新冠肺炎疫情通过进口冷链食品（进口水果）输入风险，根据常态化疫情防控工作要求和省、市相关文件精神，现就进一步规范进口冷链食品（进口水果）生产经营事项明确如下：</w:t>
      </w:r>
    </w:p>
    <w:p>
      <w:pPr>
        <w:numPr>
          <w:ilvl w:val="0"/>
          <w:numId w:val="1"/>
        </w:num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硬件建设要求</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从事进口冷链食品（进口水果）生产经营必须具备必要的硬件设施条件。</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1.专用通道。</w:t>
      </w:r>
      <w:r>
        <w:rPr>
          <w:rFonts w:hint="eastAsia" w:ascii="仿宋" w:hAnsi="仿宋" w:eastAsia="仿宋" w:cs="仿宋"/>
          <w:sz w:val="32"/>
          <w:szCs w:val="32"/>
        </w:rPr>
        <w:t>进口冷链食品（进口水果）进货应设“专用通道”。</w:t>
      </w:r>
      <w:r>
        <w:rPr>
          <w:rFonts w:ascii="仿宋" w:hAnsi="仿宋" w:eastAsia="仿宋" w:cs="仿宋"/>
          <w:sz w:val="32"/>
          <w:szCs w:val="32"/>
        </w:rPr>
        <w:t>不同清洁作业区之间的人流、物料通道应当分隔，避免交叉污染</w:t>
      </w:r>
      <w:r>
        <w:rPr>
          <w:rFonts w:hint="eastAsia" w:ascii="仿宋" w:hAnsi="仿宋" w:eastAsia="仿宋" w:cs="仿宋"/>
          <w:sz w:val="32"/>
          <w:szCs w:val="32"/>
        </w:rPr>
        <w:t>。受场地限制，不具备专用通道条件的单位，可以将进口冷链食品（进口水果）和其他食品或食品原料错时进货，并做好通道消毒工作。</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2.专区销售。</w:t>
      </w:r>
      <w:r>
        <w:rPr>
          <w:rFonts w:hint="eastAsia" w:ascii="仿宋" w:hAnsi="仿宋" w:eastAsia="仿宋" w:cs="仿宋"/>
          <w:sz w:val="32"/>
          <w:szCs w:val="32"/>
        </w:rPr>
        <w:t>经营场所内必须做好进口物品和国产物品物理隔离措施，不能出现交叉混放现象。销售进口冷链食品（进口水果）时，应在销售专区的显著位置张贴“进口冷链食品（进口水果）专区”标识。</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3.专柜存放。</w:t>
      </w:r>
      <w:r>
        <w:rPr>
          <w:rFonts w:hint="eastAsia" w:ascii="仿宋" w:hAnsi="仿宋" w:eastAsia="仿宋" w:cs="仿宋"/>
          <w:sz w:val="32"/>
          <w:szCs w:val="32"/>
        </w:rPr>
        <w:t>使用冰箱、冷柜等体积容量较小的设施设备贮存销售时，独立冷柜门内的空间可视为“专柜”。应在销售专柜的显著位置张贴“进口冷链食品（进口水果）专柜”标识。</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4.首站责任。</w:t>
      </w:r>
      <w:r>
        <w:rPr>
          <w:rFonts w:hint="eastAsia" w:ascii="仿宋" w:hAnsi="仿宋" w:eastAsia="仿宋" w:cs="仿宋"/>
          <w:sz w:val="32"/>
          <w:szCs w:val="32"/>
        </w:rPr>
        <w:t>首站（入浙落地第一站）进口冷链食品（进口水果）生产经营单位应履行好追溯管理第一责任人的责任。有条件的要建设集中监管仓，对入浙储存、加工（ 分包）、销售的进口冷链食品（进口水果），严格按照集中监管制要求，履行入仓、入站责任。没有条件建设集中监管仓的，一律运抵绍兴集中监管仓或核酸检测站进行集中监管。</w:t>
      </w:r>
    </w:p>
    <w:p>
      <w:pPr>
        <w:numPr>
          <w:ilvl w:val="0"/>
          <w:numId w:val="1"/>
        </w:num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软件建设要求</w:t>
      </w:r>
    </w:p>
    <w:p>
      <w:pPr>
        <w:spacing w:line="560" w:lineRule="exact"/>
        <w:ind w:firstLine="640" w:firstLineChars="200"/>
        <w:rPr>
          <w:rFonts w:ascii="楷体_GB2312" w:hAnsi="仿宋" w:eastAsia="楷体_GB2312" w:cs="仿宋"/>
          <w:sz w:val="32"/>
          <w:szCs w:val="32"/>
        </w:rPr>
      </w:pPr>
      <w:r>
        <w:rPr>
          <w:rFonts w:hint="eastAsia" w:ascii="楷体_GB2312" w:hAnsi="仿宋" w:eastAsia="楷体_GB2312" w:cs="仿宋"/>
          <w:sz w:val="32"/>
          <w:szCs w:val="32"/>
        </w:rPr>
        <w:t>（一）数字化管理：</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1.监控设备。</w:t>
      </w:r>
      <w:r>
        <w:rPr>
          <w:rFonts w:hint="eastAsia" w:ascii="仿宋" w:hAnsi="仿宋" w:eastAsia="仿宋" w:cs="仿宋"/>
          <w:sz w:val="32"/>
          <w:szCs w:val="32"/>
        </w:rPr>
        <w:t>进口冷链食品（进口水果）</w:t>
      </w:r>
      <w:r>
        <w:rPr>
          <w:rFonts w:ascii="仿宋" w:hAnsi="仿宋" w:eastAsia="仿宋" w:cs="仿宋"/>
          <w:sz w:val="32"/>
          <w:szCs w:val="32"/>
        </w:rPr>
        <w:t>查验区、消毒区(限有水果消毒业务)、人员防护用品穿脱卸区、废弃物暂存区等关键点位应安全高清监控摄像设备，安装 AI 人工智能视频抓拍设备，并确保正常运行。</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2.互联网系统。</w:t>
      </w:r>
      <w:r>
        <w:rPr>
          <w:rFonts w:hint="eastAsia" w:ascii="仿宋" w:hAnsi="仿宋" w:eastAsia="仿宋" w:cs="仿宋"/>
          <w:sz w:val="32"/>
          <w:szCs w:val="32"/>
        </w:rPr>
        <w:t>从事进口冷链食品（进口水果）的生产经营单位必须</w:t>
      </w:r>
      <w:r>
        <w:rPr>
          <w:rFonts w:ascii="仿宋" w:hAnsi="仿宋" w:eastAsia="仿宋" w:cs="仿宋"/>
          <w:sz w:val="32"/>
          <w:szCs w:val="32"/>
        </w:rPr>
        <w:t>接入“浙冷链”“浙食链”系统，及时做好在线扫码赋码工作，确保数据真实有效。</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3.员工条件。</w:t>
      </w:r>
      <w:r>
        <w:rPr>
          <w:rFonts w:hint="eastAsia" w:ascii="仿宋" w:hAnsi="仿宋" w:eastAsia="仿宋" w:cs="仿宋"/>
          <w:sz w:val="32"/>
          <w:szCs w:val="32"/>
        </w:rPr>
        <w:t>从事进口冷链食品（进口水果）的生产经营的从业人员必须具备熟练使用互联网工作的能力，应严格查验进口冷链食品（进口水果）“三证”（检验检疫证明、核酸检测证明、消毒证明）信息，使用“浙冷链”“浙食链”扫码入库、扫码出库（“三证一码”样图及扫码赋码操作手册详见附件）。</w:t>
      </w:r>
      <w:r>
        <w:rPr>
          <w:rFonts w:ascii="仿宋" w:hAnsi="仿宋" w:eastAsia="仿宋" w:cs="仿宋"/>
          <w:sz w:val="32"/>
          <w:szCs w:val="32"/>
        </w:rPr>
        <w:t>从事接触直接入口食品工作的进口冷链食品生产经营人员应当每年进行一次健康检查，取得健康证明后方可上岗工作。</w:t>
      </w:r>
    </w:p>
    <w:p>
      <w:pPr>
        <w:spacing w:line="560" w:lineRule="exact"/>
        <w:ind w:firstLine="640" w:firstLineChars="200"/>
        <w:rPr>
          <w:rFonts w:ascii="楷体_GB2312" w:hAnsi="仿宋" w:eastAsia="楷体_GB2312" w:cs="仿宋"/>
          <w:sz w:val="32"/>
          <w:szCs w:val="32"/>
        </w:rPr>
      </w:pPr>
      <w:r>
        <w:rPr>
          <w:rFonts w:hint="eastAsia" w:ascii="楷体_GB2312" w:hAnsi="仿宋" w:eastAsia="楷体_GB2312" w:cs="仿宋"/>
          <w:sz w:val="32"/>
          <w:szCs w:val="32"/>
        </w:rPr>
        <w:t>（二）动态申报管理：</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1.进出货申报。</w:t>
      </w:r>
      <w:r>
        <w:rPr>
          <w:rFonts w:hint="eastAsia" w:ascii="仿宋" w:hAnsi="仿宋" w:eastAsia="仿宋" w:cs="仿宋"/>
          <w:sz w:val="32"/>
          <w:szCs w:val="32"/>
        </w:rPr>
        <w:t>从事进口冷链食品（进口水果）的生产经营单位应向属地市场监管所（分局）提出申报。进口商或经营户提前在“浙冷链”、“浙食链”系统中申报进口冷链食品（进口水果）相关信息。在“浙冷链”“浙食链”系统完成出库、登记，并督促下游经营者使用“ 浙冷链”进行扫码入库，做到每一批货物去向可追。</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2.公开承诺。</w:t>
      </w:r>
      <w:r>
        <w:rPr>
          <w:rFonts w:hint="eastAsia" w:ascii="仿宋" w:hAnsi="仿宋" w:eastAsia="仿宋" w:cs="仿宋"/>
          <w:sz w:val="32"/>
          <w:szCs w:val="32"/>
        </w:rPr>
        <w:t>进口冷链食品（进口水果）生产经营储存单位应书面填写承诺书并向社会公开，对“三证”不全、未加贴“浙冷链码”和“浙食链码”的食品，做到一律不采购、不销售、不使用。</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3.岗前培训。</w:t>
      </w:r>
      <w:r>
        <w:rPr>
          <w:rFonts w:hint="eastAsia" w:ascii="仿宋" w:hAnsi="仿宋" w:eastAsia="仿宋" w:cs="仿宋"/>
          <w:sz w:val="32"/>
          <w:szCs w:val="32"/>
        </w:rPr>
        <w:t>从事进口冷链食品（进口水果）的生产经营单位及个人须参加岗前业务培训，并通过疫情防控和进口冷链食品（进口水果）物防知识理论测试（线上或线下均可）。</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4.消费登记。</w:t>
      </w:r>
      <w:r>
        <w:rPr>
          <w:rFonts w:hint="eastAsia" w:ascii="仿宋" w:hAnsi="仿宋" w:eastAsia="仿宋" w:cs="仿宋"/>
          <w:sz w:val="32"/>
          <w:szCs w:val="32"/>
        </w:rPr>
        <w:t>进口冷链食品（进口水果）生产经营单位必须要求消费者在购买进口冷链食品（进口水果）时扫码登记信息，对消费者未扫码登记或无智能手机的，由生产经营单位进行实名登记。</w:t>
      </w:r>
    </w:p>
    <w:p>
      <w:pPr>
        <w:numPr>
          <w:ilvl w:val="0"/>
          <w:numId w:val="1"/>
        </w:numPr>
        <w:spacing w:line="560" w:lineRule="exact"/>
        <w:ind w:firstLine="640" w:firstLineChars="200"/>
        <w:rPr>
          <w:rFonts w:ascii="黑体" w:hAnsi="黑体" w:eastAsia="黑体" w:cs="仿宋"/>
          <w:sz w:val="32"/>
          <w:szCs w:val="32"/>
        </w:rPr>
      </w:pPr>
      <w:r>
        <w:rPr>
          <w:rFonts w:hint="eastAsia" w:ascii="黑体" w:hAnsi="黑体" w:eastAsia="黑体" w:cs="仿宋"/>
          <w:sz w:val="32"/>
          <w:szCs w:val="32"/>
        </w:rPr>
        <w:t>现场管理要求</w:t>
      </w:r>
    </w:p>
    <w:p>
      <w:pPr>
        <w:spacing w:line="560" w:lineRule="exact"/>
        <w:ind w:firstLine="640" w:firstLineChars="200"/>
        <w:rPr>
          <w:rFonts w:ascii="仿宋" w:hAnsi="仿宋" w:eastAsia="仿宋" w:cs="仿宋"/>
          <w:sz w:val="32"/>
          <w:szCs w:val="32"/>
        </w:rPr>
      </w:pPr>
      <w:r>
        <w:rPr>
          <w:rFonts w:hint="eastAsia" w:ascii="仿宋" w:hAnsi="仿宋" w:eastAsia="仿宋" w:cs="仿宋"/>
          <w:sz w:val="32"/>
          <w:szCs w:val="32"/>
        </w:rPr>
        <w:t>农贸市场、批发市场主办方对冷链食品（进口水果）物防工作负主管责任，进口冷链食品（进口水果）生产经营单位和个人负主体责任。</w:t>
      </w:r>
    </w:p>
    <w:p>
      <w:pPr>
        <w:spacing w:line="560" w:lineRule="exact"/>
        <w:ind w:firstLine="643" w:firstLineChars="200"/>
        <w:rPr>
          <w:rFonts w:ascii="仿宋" w:hAnsi="仿宋" w:eastAsia="仿宋" w:cs="仿宋"/>
          <w:sz w:val="32"/>
          <w:szCs w:val="32"/>
        </w:rPr>
      </w:pPr>
      <w:r>
        <w:rPr>
          <w:rFonts w:hint="eastAsia" w:ascii="仿宋_GB2312" w:eastAsia="仿宋_GB2312"/>
          <w:b/>
          <w:color w:val="000000"/>
          <w:sz w:val="32"/>
          <w:szCs w:val="32"/>
        </w:rPr>
        <w:t>1.场所管理。</w:t>
      </w:r>
      <w:r>
        <w:rPr>
          <w:rFonts w:hint="eastAsia" w:ascii="仿宋" w:hAnsi="仿宋" w:eastAsia="仿宋" w:cs="仿宋"/>
          <w:sz w:val="32"/>
          <w:szCs w:val="32"/>
        </w:rPr>
        <w:t>农贸市场、批发市场主办方要落实专人守好小门，安排专人落实测温、亮码、戴口罩等规定，切实抓好“健康码＋行程卡”联动核查，并督促出入人员扫“场所码”登记，确保风险链条可追可查。严格查验每一批入场交易的进口冷链食品（进口水果）“三证”信息，督促进口冷链食品（进口水果）生产经营单位按规定做好“浙冷链”“浙食链”相关信息核对工作，“三证”信息不全或不实的，不得入场交易。</w:t>
      </w:r>
    </w:p>
    <w:p>
      <w:pPr>
        <w:spacing w:line="560" w:lineRule="exact"/>
        <w:ind w:firstLine="643" w:firstLineChars="200"/>
        <w:rPr>
          <w:rFonts w:ascii="仿宋_GB2312" w:eastAsia="仿宋_GB2312"/>
          <w:color w:val="000000"/>
          <w:sz w:val="32"/>
          <w:szCs w:val="32"/>
        </w:rPr>
      </w:pPr>
      <w:r>
        <w:rPr>
          <w:rFonts w:hint="eastAsia" w:ascii="仿宋_GB2312" w:eastAsia="仿宋_GB2312"/>
          <w:b/>
          <w:color w:val="000000"/>
          <w:sz w:val="32"/>
          <w:szCs w:val="32"/>
        </w:rPr>
        <w:t>2.场所消杀。</w:t>
      </w:r>
      <w:r>
        <w:rPr>
          <w:rFonts w:hint="eastAsia" w:ascii="仿宋_GB2312" w:eastAsia="仿宋_GB2312"/>
          <w:color w:val="000000"/>
          <w:sz w:val="32"/>
          <w:szCs w:val="32"/>
        </w:rPr>
        <w:t>进口冷链食品（进口水果）生产经营单位要制定环境管理制度，做好</w:t>
      </w:r>
      <w:r>
        <w:rPr>
          <w:rFonts w:ascii="仿宋_GB2312" w:eastAsia="仿宋_GB2312"/>
          <w:color w:val="000000"/>
          <w:sz w:val="32"/>
          <w:szCs w:val="32"/>
        </w:rPr>
        <w:t>清洁和消毒。进口冷链食品</w:t>
      </w:r>
      <w:r>
        <w:rPr>
          <w:rFonts w:hint="eastAsia" w:ascii="仿宋_GB2312" w:eastAsia="仿宋_GB2312"/>
          <w:color w:val="000000"/>
          <w:sz w:val="32"/>
          <w:szCs w:val="32"/>
        </w:rPr>
        <w:t>生产</w:t>
      </w:r>
      <w:r>
        <w:rPr>
          <w:rFonts w:ascii="仿宋_GB2312" w:eastAsia="仿宋_GB2312"/>
          <w:color w:val="000000"/>
          <w:sz w:val="32"/>
          <w:szCs w:val="32"/>
        </w:rPr>
        <w:t>经营场所，其产品仓库、产品交易区、办公区域、食品货梯等人员密集、空间封闭的重点区域，每天应进行全面消毒。对档口、案板、器具物表面，食品储存冰箱或冷库内表面，以及下水道、运输车辆等部位严格落实定期消毒并做好记录。人员频繁接触的各种物体表面、把手、按钮等及时清洁并消毒。</w:t>
      </w:r>
      <w:r>
        <w:rPr>
          <w:rFonts w:hint="eastAsia" w:ascii="仿宋_GB2312" w:eastAsia="仿宋_GB2312"/>
          <w:color w:val="000000"/>
          <w:sz w:val="32"/>
          <w:szCs w:val="32"/>
        </w:rPr>
        <w:t>加强垃圾分类，对脱包的产品外包装、口罩等废弃物，经消毒后放入专用垃圾暂存容器，日产日清，并建立环境、物品消毒登记台账清单。</w:t>
      </w:r>
    </w:p>
    <w:p>
      <w:pPr>
        <w:spacing w:line="560" w:lineRule="exact"/>
        <w:ind w:firstLine="643" w:firstLineChars="200"/>
        <w:rPr>
          <w:rFonts w:ascii="仿宋" w:hAnsi="仿宋" w:eastAsia="仿宋" w:cs="仿宋"/>
          <w:sz w:val="32"/>
          <w:szCs w:val="32"/>
        </w:rPr>
      </w:pPr>
      <w:r>
        <w:rPr>
          <w:rFonts w:hint="eastAsia" w:ascii="仿宋_GB2312" w:hAnsi="仿宋" w:eastAsia="仿宋_GB2312" w:cs="仿宋"/>
          <w:b/>
          <w:sz w:val="32"/>
          <w:szCs w:val="32"/>
        </w:rPr>
        <w:t>3.人员防护。</w:t>
      </w:r>
      <w:r>
        <w:rPr>
          <w:rFonts w:hint="eastAsia" w:ascii="仿宋" w:hAnsi="仿宋" w:eastAsia="仿宋" w:cs="仿宋"/>
          <w:sz w:val="32"/>
          <w:szCs w:val="32"/>
        </w:rPr>
        <w:t>进口冷链食品（进口水果）生产经营的单位要按照区防控办要求，按照规定频次做好人员、物品、环境的核酸检测。从业人员在作业期间要严格</w:t>
      </w:r>
      <w:r>
        <w:rPr>
          <w:rFonts w:ascii="仿宋" w:hAnsi="仿宋" w:eastAsia="仿宋" w:cs="仿宋"/>
          <w:sz w:val="32"/>
          <w:szCs w:val="32"/>
        </w:rPr>
        <w:t>落实登记、测温、消毒、查验健康码等防控措施，实行</w:t>
      </w:r>
      <w:r>
        <w:rPr>
          <w:rFonts w:hint="eastAsia" w:ascii="仿宋" w:hAnsi="仿宋" w:eastAsia="仿宋" w:cs="仿宋"/>
          <w:sz w:val="32"/>
          <w:szCs w:val="32"/>
        </w:rPr>
        <w:t>“</w:t>
      </w:r>
      <w:r>
        <w:rPr>
          <w:rFonts w:ascii="仿宋" w:hAnsi="仿宋" w:eastAsia="仿宋" w:cs="仿宋"/>
          <w:sz w:val="32"/>
          <w:szCs w:val="32"/>
        </w:rPr>
        <w:t>绿码</w:t>
      </w:r>
      <w:r>
        <w:rPr>
          <w:rFonts w:hint="eastAsia" w:ascii="仿宋" w:hAnsi="仿宋" w:eastAsia="仿宋" w:cs="仿宋"/>
          <w:sz w:val="32"/>
          <w:szCs w:val="32"/>
        </w:rPr>
        <w:t>”</w:t>
      </w:r>
      <w:r>
        <w:rPr>
          <w:rFonts w:ascii="仿宋" w:hAnsi="仿宋" w:eastAsia="仿宋" w:cs="仿宋"/>
          <w:sz w:val="32"/>
          <w:szCs w:val="32"/>
        </w:rPr>
        <w:t>上岗制</w:t>
      </w:r>
      <w:r>
        <w:rPr>
          <w:rFonts w:hint="eastAsia" w:ascii="仿宋" w:hAnsi="仿宋" w:eastAsia="仿宋" w:cs="仿宋"/>
          <w:sz w:val="32"/>
          <w:szCs w:val="32"/>
        </w:rPr>
        <w:t>；要做好个人防护，正确穿戴工作服、口罩、手套、袖套等，必要时佩戴护目镜和面屏，</w:t>
      </w:r>
      <w:r>
        <w:rPr>
          <w:rFonts w:ascii="仿宋" w:hAnsi="仿宋" w:eastAsia="仿宋" w:cs="仿宋"/>
          <w:sz w:val="32"/>
          <w:szCs w:val="32"/>
        </w:rPr>
        <w:t>生鲜宰杀等特殊岗位的人员除上述防护要求外，还需要穿戴防水围裙、橡胶手套等。一旦发现</w:t>
      </w:r>
      <w:r>
        <w:rPr>
          <w:rFonts w:hint="eastAsia" w:ascii="仿宋" w:hAnsi="仿宋" w:eastAsia="仿宋" w:cs="仿宋"/>
          <w:sz w:val="32"/>
          <w:szCs w:val="32"/>
        </w:rPr>
        <w:t>从业</w:t>
      </w:r>
      <w:r>
        <w:rPr>
          <w:rFonts w:ascii="仿宋" w:hAnsi="仿宋" w:eastAsia="仿宋" w:cs="仿宋"/>
          <w:sz w:val="32"/>
          <w:szCs w:val="32"/>
        </w:rPr>
        <w:t>人员出现发热、干咳、乏力等疑似症状，应采取有效措施将其本人及密切接触的员工迅速排除在食品工作环境之外</w:t>
      </w:r>
      <w:r>
        <w:rPr>
          <w:rFonts w:hint="eastAsia" w:ascii="仿宋" w:hAnsi="仿宋" w:eastAsia="仿宋" w:cs="仿宋"/>
          <w:sz w:val="32"/>
          <w:szCs w:val="32"/>
        </w:rPr>
        <w:t>。</w:t>
      </w:r>
    </w:p>
    <w:p>
      <w:pPr>
        <w:spacing w:line="560" w:lineRule="exact"/>
        <w:ind w:firstLine="643" w:firstLineChars="200"/>
        <w:rPr>
          <w:rFonts w:ascii="仿宋_GB2312" w:eastAsia="仿宋_GB2312"/>
          <w:color w:val="000000"/>
          <w:sz w:val="32"/>
          <w:szCs w:val="32"/>
        </w:rPr>
      </w:pPr>
      <w:r>
        <w:rPr>
          <w:rFonts w:hint="eastAsia" w:ascii="仿宋_GB2312" w:eastAsia="仿宋_GB2312"/>
          <w:b/>
          <w:color w:val="000000"/>
          <w:sz w:val="32"/>
          <w:szCs w:val="32"/>
        </w:rPr>
        <w:t>4.健康管理。</w:t>
      </w:r>
      <w:r>
        <w:rPr>
          <w:rFonts w:hint="eastAsia" w:ascii="仿宋_GB2312" w:eastAsia="仿宋_GB2312"/>
          <w:color w:val="000000"/>
          <w:sz w:val="32"/>
          <w:szCs w:val="32"/>
        </w:rPr>
        <w:t>进口冷链食品（进口水果）生产经营单位要加强</w:t>
      </w:r>
      <w:r>
        <w:rPr>
          <w:rFonts w:ascii="仿宋_GB2312" w:eastAsia="仿宋_GB2312"/>
          <w:color w:val="000000"/>
          <w:sz w:val="32"/>
          <w:szCs w:val="32"/>
        </w:rPr>
        <w:t>外来人员管理。落实好入口值守，控制人员密度，对进入人员实行</w:t>
      </w:r>
      <w:r>
        <w:rPr>
          <w:rFonts w:hint="eastAsia" w:ascii="仿宋_GB2312" w:eastAsia="仿宋_GB2312"/>
          <w:color w:val="000000"/>
          <w:sz w:val="32"/>
          <w:szCs w:val="32"/>
        </w:rPr>
        <w:t>“</w:t>
      </w:r>
      <w:r>
        <w:rPr>
          <w:rFonts w:ascii="仿宋_GB2312" w:eastAsia="仿宋_GB2312"/>
          <w:color w:val="000000"/>
          <w:sz w:val="32"/>
          <w:szCs w:val="32"/>
        </w:rPr>
        <w:t>亮码</w:t>
      </w:r>
      <w:r>
        <w:rPr>
          <w:rFonts w:ascii="TimesNewRomanPSMT" w:hAnsi="TimesNewRomanPSMT"/>
          <w:color w:val="000000"/>
          <w:sz w:val="32"/>
          <w:szCs w:val="32"/>
        </w:rPr>
        <w:t>+</w:t>
      </w:r>
      <w:r>
        <w:rPr>
          <w:rFonts w:ascii="仿宋_GB2312" w:eastAsia="仿宋_GB2312"/>
          <w:color w:val="000000"/>
          <w:sz w:val="32"/>
          <w:szCs w:val="32"/>
        </w:rPr>
        <w:t>测温</w:t>
      </w:r>
      <w:r>
        <w:rPr>
          <w:rFonts w:ascii="TimesNewRomanPSMT" w:hAnsi="TimesNewRomanPSMT"/>
          <w:color w:val="000000"/>
          <w:sz w:val="32"/>
          <w:szCs w:val="32"/>
        </w:rPr>
        <w:t>+</w:t>
      </w:r>
      <w:r>
        <w:rPr>
          <w:rFonts w:ascii="仿宋_GB2312" w:eastAsia="仿宋_GB2312"/>
          <w:color w:val="000000"/>
          <w:sz w:val="32"/>
          <w:szCs w:val="32"/>
        </w:rPr>
        <w:t>戴口罩</w:t>
      </w:r>
      <w:r>
        <w:rPr>
          <w:rFonts w:hint="eastAsia" w:ascii="仿宋_GB2312" w:eastAsia="仿宋_GB2312"/>
          <w:color w:val="000000"/>
          <w:sz w:val="32"/>
          <w:szCs w:val="32"/>
        </w:rPr>
        <w:t>”</w:t>
      </w:r>
      <w:r>
        <w:rPr>
          <w:rFonts w:ascii="仿宋_GB2312" w:eastAsia="仿宋_GB2312"/>
          <w:color w:val="000000"/>
          <w:sz w:val="32"/>
          <w:szCs w:val="32"/>
        </w:rPr>
        <w:t>管控措施。严禁健康码红码或黄码、体温异常、有异常症状等人员进入，并做好异常信息登记报告工作。</w:t>
      </w:r>
    </w:p>
    <w:p>
      <w:pPr>
        <w:spacing w:line="560" w:lineRule="exact"/>
        <w:ind w:firstLine="643" w:firstLineChars="200"/>
        <w:rPr>
          <w:rFonts w:ascii="仿宋_GB2312" w:eastAsia="仿宋_GB2312"/>
          <w:color w:val="000000"/>
          <w:sz w:val="32"/>
          <w:szCs w:val="32"/>
        </w:rPr>
      </w:pPr>
      <w:r>
        <w:rPr>
          <w:rFonts w:hint="eastAsia" w:ascii="仿宋_GB2312" w:eastAsia="仿宋_GB2312"/>
          <w:b/>
          <w:color w:val="000000"/>
          <w:sz w:val="32"/>
          <w:szCs w:val="32"/>
        </w:rPr>
        <w:t>5.应急处置。</w:t>
      </w:r>
      <w:r>
        <w:rPr>
          <w:rFonts w:hint="eastAsia" w:ascii="仿宋_GB2312" w:eastAsia="仿宋_GB2312"/>
          <w:color w:val="000000"/>
          <w:sz w:val="32"/>
          <w:szCs w:val="32"/>
        </w:rPr>
        <w:t>当有关部门通报新冠病毒核酸阳性突发事件或出现进口冷链食品（进口水果）检测阳性，进口冷链食品（进口水果）生产经营单位必须服从并积极配合有关部门进行应急处置。主动配合市场监管、卫健部门对相关物品下架临时封存、相关场所进行消毒处理和可能接触暴露人员及时开展核酸检测、健康筛查等工作。</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附件：1.“三证一码”样图</w:t>
      </w:r>
    </w:p>
    <w:p>
      <w:pPr>
        <w:spacing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 xml:space="preserve">      2.进口冷链食品（进口水果）扫码赋码操作手册</w:t>
      </w:r>
    </w:p>
    <w:p>
      <w:pPr>
        <w:spacing w:line="560" w:lineRule="exact"/>
        <w:ind w:firstLine="600" w:firstLineChars="200"/>
        <w:jc w:val="center"/>
        <w:rPr>
          <w:rFonts w:ascii="仿宋" w:hAnsi="仿宋" w:eastAsia="仿宋" w:cs="仿宋"/>
          <w:sz w:val="30"/>
          <w:szCs w:val="30"/>
        </w:rPr>
      </w:pPr>
    </w:p>
    <w:p>
      <w:pPr>
        <w:spacing w:line="560" w:lineRule="exact"/>
        <w:ind w:firstLine="600" w:firstLineChars="200"/>
        <w:jc w:val="right"/>
        <w:rPr>
          <w:rFonts w:ascii="仿宋_GB2312" w:eastAsia="仿宋_GB2312"/>
          <w:color w:val="000000"/>
          <w:sz w:val="32"/>
          <w:szCs w:val="32"/>
        </w:rPr>
      </w:pPr>
      <w:r>
        <w:rPr>
          <w:rFonts w:hint="eastAsia" w:ascii="仿宋" w:hAnsi="仿宋" w:eastAsia="仿宋" w:cs="仿宋"/>
          <w:sz w:val="30"/>
          <w:szCs w:val="30"/>
        </w:rPr>
        <w:t xml:space="preserve">         </w:t>
      </w:r>
      <w:r>
        <w:rPr>
          <w:rFonts w:hint="eastAsia" w:ascii="仿宋_GB2312" w:eastAsia="仿宋_GB2312"/>
          <w:color w:val="000000"/>
          <w:sz w:val="32"/>
          <w:szCs w:val="32"/>
        </w:rPr>
        <w:t xml:space="preserve"> 绍兴市上虞区新型冠状病毒肺炎疫情</w:t>
      </w:r>
    </w:p>
    <w:p>
      <w:pPr>
        <w:spacing w:line="560" w:lineRule="exact"/>
        <w:ind w:firstLine="640" w:firstLineChars="200"/>
        <w:jc w:val="right"/>
        <w:rPr>
          <w:rFonts w:ascii="仿宋_GB2312" w:eastAsia="仿宋_GB2312"/>
          <w:color w:val="000000"/>
          <w:sz w:val="32"/>
          <w:szCs w:val="32"/>
        </w:rPr>
      </w:pPr>
      <w:r>
        <w:rPr>
          <w:rFonts w:hint="eastAsia" w:ascii="仿宋_GB2312" w:eastAsia="仿宋_GB2312"/>
          <w:color w:val="000000"/>
          <w:sz w:val="32"/>
          <w:szCs w:val="32"/>
        </w:rPr>
        <w:t xml:space="preserve">       防控工作领导小组办公室</w:t>
      </w:r>
    </w:p>
    <w:p>
      <w:pPr>
        <w:spacing w:line="560" w:lineRule="exact"/>
        <w:ind w:firstLine="600" w:firstLineChars="200"/>
        <w:jc w:val="right"/>
      </w:pPr>
      <w:r>
        <w:rPr>
          <w:rFonts w:hint="eastAsia" w:ascii="仿宋" w:hAnsi="仿宋" w:eastAsia="仿宋" w:cs="仿宋"/>
          <w:sz w:val="30"/>
          <w:szCs w:val="30"/>
        </w:rPr>
        <w:t xml:space="preserve">     </w:t>
      </w:r>
      <w:r>
        <w:rPr>
          <w:rFonts w:hint="eastAsia" w:ascii="仿宋_GB2312" w:eastAsia="仿宋_GB2312"/>
          <w:color w:val="000000"/>
          <w:sz w:val="32"/>
          <w:szCs w:val="32"/>
        </w:rPr>
        <w:t xml:space="preserve">   2022 年 6月</w:t>
      </w:r>
      <w:r>
        <w:rPr>
          <w:rFonts w:hint="eastAsia" w:ascii="仿宋_GB2312" w:eastAsia="仿宋_GB2312"/>
          <w:color w:val="000000"/>
          <w:sz w:val="32"/>
          <w:szCs w:val="32"/>
          <w:lang w:val="en-US" w:eastAsia="zh-CN"/>
        </w:rPr>
        <w:t>13</w:t>
      </w:r>
      <w:r>
        <w:rPr>
          <w:rFonts w:hint="eastAsia" w:ascii="仿宋_GB2312" w:eastAsia="仿宋_GB2312"/>
          <w:color w:val="000000"/>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XBSK--GBK1-0">
    <w:altName w:val="Arial"/>
    <w:panose1 w:val="00000000000000000000"/>
    <w:charset w:val="00"/>
    <w:family w:val="auto"/>
    <w:pitch w:val="default"/>
    <w:sig w:usb0="00000000" w:usb1="00000000" w:usb2="00000000" w:usb3="00000000" w:csb0="00000000" w:csb1="00000000"/>
  </w:font>
  <w:font w:name="FZFSK--GBK1-0">
    <w:altName w:val="Arial"/>
    <w:panose1 w:val="00000000000000000000"/>
    <w:charset w:val="00"/>
    <w:family w:val="auto"/>
    <w:pitch w:val="default"/>
    <w:sig w:usb0="00000000" w:usb1="00000000" w:usb2="00000000" w:usb3="00000000" w:csb0="00000000" w:csb1="00000000"/>
  </w:font>
  <w:font w:name="E-BX">
    <w:altName w:val="Arial"/>
    <w:panose1 w:val="00000000000000000000"/>
    <w:charset w:val="00"/>
    <w:family w:val="auto"/>
    <w:pitch w:val="default"/>
    <w:sig w:usb0="00000000" w:usb1="00000000" w:usb2="00000000" w:usb3="00000000" w:csb0="00000000" w:csb1="00000000"/>
  </w:font>
  <w:font w:name="E-BZ">
    <w:altName w:val="Arial"/>
    <w:panose1 w:val="00000000000000000000"/>
    <w:charset w:val="00"/>
    <w:family w:val="auto"/>
    <w:pitch w:val="default"/>
    <w:sig w:usb0="00000000" w:usb1="00000000" w:usb2="00000000" w:usb3="00000000" w:csb0="00000000" w:csb1="00000000"/>
  </w:font>
  <w:font w:name="FZHTK--GBK1-0">
    <w:altName w:val="Arial"/>
    <w:panose1 w:val="00000000000000000000"/>
    <w:charset w:val="00"/>
    <w:family w:val="auto"/>
    <w:pitch w:val="default"/>
    <w:sig w:usb0="00000000" w:usb1="00000000" w:usb2="00000000" w:usb3="00000000" w:csb0="00000000" w:csb1="00000000"/>
  </w:font>
  <w:font w:name="E-FZ">
    <w:altName w:val="Arial"/>
    <w:panose1 w:val="00000000000000000000"/>
    <w:charset w:val="00"/>
    <w:family w:val="auto"/>
    <w:pitch w:val="default"/>
    <w:sig w:usb0="00000000" w:usb1="00000000" w:usb2="00000000" w:usb3="00000000" w:csb0="00000000" w:csb1="00000000"/>
  </w:font>
  <w:font w:name="E-B6">
    <w:altName w:val="Arial"/>
    <w:panose1 w:val="00000000000000000000"/>
    <w:charset w:val="00"/>
    <w:family w:val="auto"/>
    <w:pitch w:val="default"/>
    <w:sig w:usb0="00000000" w:usb1="00000000" w:usb2="00000000" w:usb3="00000000" w:csb0="00000000" w:csb1="00000000"/>
  </w:font>
  <w:font w:name="FZKTK--GBK1-0">
    <w:altName w:val="Arial"/>
    <w:panose1 w:val="00000000000000000000"/>
    <w:charset w:val="00"/>
    <w:family w:val="auto"/>
    <w:pitch w:val="default"/>
    <w:sig w:usb0="00000000" w:usb1="00000000" w:usb2="00000000" w:usb3="00000000" w:csb0="0000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1BA001"/>
    <w:multiLevelType w:val="singleLevel"/>
    <w:tmpl w:val="861BA0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wNzVlYmQxZmI4YjRhY2UyNjZlMWE1MjE0ODZlYzkifQ=="/>
  </w:docVars>
  <w:rsids>
    <w:rsidRoot w:val="001E2264"/>
    <w:rsid w:val="00071E1E"/>
    <w:rsid w:val="0007684C"/>
    <w:rsid w:val="000C5089"/>
    <w:rsid w:val="000C705F"/>
    <w:rsid w:val="000D2EA5"/>
    <w:rsid w:val="000D779B"/>
    <w:rsid w:val="000E1802"/>
    <w:rsid w:val="000F5EEC"/>
    <w:rsid w:val="00136CBD"/>
    <w:rsid w:val="00144998"/>
    <w:rsid w:val="001B084C"/>
    <w:rsid w:val="001C07C7"/>
    <w:rsid w:val="001C0C88"/>
    <w:rsid w:val="001C5D3F"/>
    <w:rsid w:val="001C6111"/>
    <w:rsid w:val="001D4126"/>
    <w:rsid w:val="001E2264"/>
    <w:rsid w:val="001E33D2"/>
    <w:rsid w:val="00200CC4"/>
    <w:rsid w:val="00211AC0"/>
    <w:rsid w:val="00222029"/>
    <w:rsid w:val="00227598"/>
    <w:rsid w:val="002526E8"/>
    <w:rsid w:val="002603AA"/>
    <w:rsid w:val="00264FFB"/>
    <w:rsid w:val="00280571"/>
    <w:rsid w:val="002A76BE"/>
    <w:rsid w:val="002B586A"/>
    <w:rsid w:val="002D6317"/>
    <w:rsid w:val="0034358A"/>
    <w:rsid w:val="0035184C"/>
    <w:rsid w:val="00353320"/>
    <w:rsid w:val="00360797"/>
    <w:rsid w:val="00365D39"/>
    <w:rsid w:val="003A3F24"/>
    <w:rsid w:val="003D1EE5"/>
    <w:rsid w:val="003D2A7F"/>
    <w:rsid w:val="003E0658"/>
    <w:rsid w:val="003E281A"/>
    <w:rsid w:val="003E3399"/>
    <w:rsid w:val="003F0247"/>
    <w:rsid w:val="003F63B3"/>
    <w:rsid w:val="004018C2"/>
    <w:rsid w:val="00401B10"/>
    <w:rsid w:val="00475038"/>
    <w:rsid w:val="004A6B50"/>
    <w:rsid w:val="005061EB"/>
    <w:rsid w:val="00507C00"/>
    <w:rsid w:val="0051205F"/>
    <w:rsid w:val="00520AB0"/>
    <w:rsid w:val="00562CE5"/>
    <w:rsid w:val="005C41CB"/>
    <w:rsid w:val="005F1F72"/>
    <w:rsid w:val="005F7C35"/>
    <w:rsid w:val="00612F9A"/>
    <w:rsid w:val="006217D7"/>
    <w:rsid w:val="00652898"/>
    <w:rsid w:val="00657938"/>
    <w:rsid w:val="006825D1"/>
    <w:rsid w:val="0069569D"/>
    <w:rsid w:val="006B252D"/>
    <w:rsid w:val="006F1BA8"/>
    <w:rsid w:val="006F2FEF"/>
    <w:rsid w:val="006F3240"/>
    <w:rsid w:val="006F5AF5"/>
    <w:rsid w:val="0071590C"/>
    <w:rsid w:val="00724348"/>
    <w:rsid w:val="007421B7"/>
    <w:rsid w:val="00762051"/>
    <w:rsid w:val="0077295D"/>
    <w:rsid w:val="007B64C0"/>
    <w:rsid w:val="00813FC3"/>
    <w:rsid w:val="0085006C"/>
    <w:rsid w:val="00852B7D"/>
    <w:rsid w:val="008560BD"/>
    <w:rsid w:val="00872FC3"/>
    <w:rsid w:val="00880EC5"/>
    <w:rsid w:val="0089236F"/>
    <w:rsid w:val="008B3EC7"/>
    <w:rsid w:val="008C32ED"/>
    <w:rsid w:val="00916FA8"/>
    <w:rsid w:val="00943CDA"/>
    <w:rsid w:val="00945A69"/>
    <w:rsid w:val="009749E9"/>
    <w:rsid w:val="0098493E"/>
    <w:rsid w:val="009D5B5C"/>
    <w:rsid w:val="00A11D49"/>
    <w:rsid w:val="00A27BFB"/>
    <w:rsid w:val="00A61DEC"/>
    <w:rsid w:val="00A73EC2"/>
    <w:rsid w:val="00A7547E"/>
    <w:rsid w:val="00A82A33"/>
    <w:rsid w:val="00A91C26"/>
    <w:rsid w:val="00AE0252"/>
    <w:rsid w:val="00B40C9D"/>
    <w:rsid w:val="00BD3EAA"/>
    <w:rsid w:val="00BE0A66"/>
    <w:rsid w:val="00BE4B00"/>
    <w:rsid w:val="00C112F6"/>
    <w:rsid w:val="00C52692"/>
    <w:rsid w:val="00C76558"/>
    <w:rsid w:val="00C77E3E"/>
    <w:rsid w:val="00D24CB9"/>
    <w:rsid w:val="00D40799"/>
    <w:rsid w:val="00D5170A"/>
    <w:rsid w:val="00D8256F"/>
    <w:rsid w:val="00DC5259"/>
    <w:rsid w:val="00DD0DF2"/>
    <w:rsid w:val="00DF03F7"/>
    <w:rsid w:val="00E00EDA"/>
    <w:rsid w:val="00E14749"/>
    <w:rsid w:val="00E168EE"/>
    <w:rsid w:val="00E225A1"/>
    <w:rsid w:val="00E2465B"/>
    <w:rsid w:val="00E36BD7"/>
    <w:rsid w:val="00E641FC"/>
    <w:rsid w:val="00E76174"/>
    <w:rsid w:val="00E83170"/>
    <w:rsid w:val="00F4552D"/>
    <w:rsid w:val="00F57D63"/>
    <w:rsid w:val="00F732E0"/>
    <w:rsid w:val="00FA4A26"/>
    <w:rsid w:val="00FA5188"/>
    <w:rsid w:val="00FA7C25"/>
    <w:rsid w:val="00FC1CFC"/>
    <w:rsid w:val="00FE3975"/>
    <w:rsid w:val="01875153"/>
    <w:rsid w:val="01AE5F64"/>
    <w:rsid w:val="0376557F"/>
    <w:rsid w:val="03784C11"/>
    <w:rsid w:val="037B6D05"/>
    <w:rsid w:val="04760CBF"/>
    <w:rsid w:val="047D0FA3"/>
    <w:rsid w:val="04FD222E"/>
    <w:rsid w:val="0550538B"/>
    <w:rsid w:val="055D56BC"/>
    <w:rsid w:val="05F749AB"/>
    <w:rsid w:val="05FA2136"/>
    <w:rsid w:val="06FD1CFF"/>
    <w:rsid w:val="071170E1"/>
    <w:rsid w:val="076D2FA7"/>
    <w:rsid w:val="088A5552"/>
    <w:rsid w:val="09DC4FF6"/>
    <w:rsid w:val="0A333440"/>
    <w:rsid w:val="0A5B198D"/>
    <w:rsid w:val="0B1C5752"/>
    <w:rsid w:val="0B340F29"/>
    <w:rsid w:val="0BF63AC1"/>
    <w:rsid w:val="0C197ABF"/>
    <w:rsid w:val="0C314759"/>
    <w:rsid w:val="0C785C09"/>
    <w:rsid w:val="0C81725D"/>
    <w:rsid w:val="0D6E230C"/>
    <w:rsid w:val="0E31546D"/>
    <w:rsid w:val="0FFA7EB0"/>
    <w:rsid w:val="115A24F4"/>
    <w:rsid w:val="118D2414"/>
    <w:rsid w:val="12076FC3"/>
    <w:rsid w:val="129915E3"/>
    <w:rsid w:val="12C42B3B"/>
    <w:rsid w:val="12EC58A6"/>
    <w:rsid w:val="12F014DA"/>
    <w:rsid w:val="13375AF6"/>
    <w:rsid w:val="138C2BE9"/>
    <w:rsid w:val="13A72706"/>
    <w:rsid w:val="13AB6203"/>
    <w:rsid w:val="149F3766"/>
    <w:rsid w:val="1631216B"/>
    <w:rsid w:val="164001C9"/>
    <w:rsid w:val="17D968AC"/>
    <w:rsid w:val="183E1149"/>
    <w:rsid w:val="18FC219A"/>
    <w:rsid w:val="1A1B5651"/>
    <w:rsid w:val="1AAB703E"/>
    <w:rsid w:val="1B2D0109"/>
    <w:rsid w:val="1B4B4408"/>
    <w:rsid w:val="1BE473E5"/>
    <w:rsid w:val="1C820A87"/>
    <w:rsid w:val="1D4D2E86"/>
    <w:rsid w:val="1DA9786D"/>
    <w:rsid w:val="1E007DFF"/>
    <w:rsid w:val="1E047AFE"/>
    <w:rsid w:val="1E0E4B96"/>
    <w:rsid w:val="1EE87608"/>
    <w:rsid w:val="1FB91093"/>
    <w:rsid w:val="2069422D"/>
    <w:rsid w:val="20913D85"/>
    <w:rsid w:val="20C03FA9"/>
    <w:rsid w:val="20D644DB"/>
    <w:rsid w:val="21006D63"/>
    <w:rsid w:val="211E7946"/>
    <w:rsid w:val="21632A0F"/>
    <w:rsid w:val="21B260A6"/>
    <w:rsid w:val="22405F69"/>
    <w:rsid w:val="244C7ED4"/>
    <w:rsid w:val="254476DC"/>
    <w:rsid w:val="25D164CD"/>
    <w:rsid w:val="25DD1725"/>
    <w:rsid w:val="265C348F"/>
    <w:rsid w:val="2723579D"/>
    <w:rsid w:val="29ED458D"/>
    <w:rsid w:val="29F16516"/>
    <w:rsid w:val="2A434F9B"/>
    <w:rsid w:val="2A937815"/>
    <w:rsid w:val="2B067979"/>
    <w:rsid w:val="2BD50FE3"/>
    <w:rsid w:val="2D997597"/>
    <w:rsid w:val="2FFD1DB8"/>
    <w:rsid w:val="30B90571"/>
    <w:rsid w:val="30C1475A"/>
    <w:rsid w:val="31B152B7"/>
    <w:rsid w:val="31C07718"/>
    <w:rsid w:val="31C30AB4"/>
    <w:rsid w:val="337E488F"/>
    <w:rsid w:val="344A0F8D"/>
    <w:rsid w:val="36984D32"/>
    <w:rsid w:val="38FB5614"/>
    <w:rsid w:val="393F35B2"/>
    <w:rsid w:val="3ACD51AC"/>
    <w:rsid w:val="3B1E77F8"/>
    <w:rsid w:val="3B787F95"/>
    <w:rsid w:val="3CBF4271"/>
    <w:rsid w:val="3DB26E82"/>
    <w:rsid w:val="3E4C4611"/>
    <w:rsid w:val="3EA04BEA"/>
    <w:rsid w:val="3F7B7FA3"/>
    <w:rsid w:val="4128698D"/>
    <w:rsid w:val="41E61C60"/>
    <w:rsid w:val="426A499D"/>
    <w:rsid w:val="42755D38"/>
    <w:rsid w:val="431C3410"/>
    <w:rsid w:val="456C2429"/>
    <w:rsid w:val="45C8538B"/>
    <w:rsid w:val="474C0067"/>
    <w:rsid w:val="47E32A9D"/>
    <w:rsid w:val="484917BB"/>
    <w:rsid w:val="48AA2DFE"/>
    <w:rsid w:val="49B92446"/>
    <w:rsid w:val="49E8312D"/>
    <w:rsid w:val="4A6F2519"/>
    <w:rsid w:val="4B110356"/>
    <w:rsid w:val="4CC64C97"/>
    <w:rsid w:val="4CF6360C"/>
    <w:rsid w:val="4D6F312D"/>
    <w:rsid w:val="4EED3476"/>
    <w:rsid w:val="4F0B2A3C"/>
    <w:rsid w:val="4F7E554A"/>
    <w:rsid w:val="524D5558"/>
    <w:rsid w:val="53EC1861"/>
    <w:rsid w:val="54377471"/>
    <w:rsid w:val="54461C8A"/>
    <w:rsid w:val="55444ABF"/>
    <w:rsid w:val="5555166D"/>
    <w:rsid w:val="58554C98"/>
    <w:rsid w:val="591206D2"/>
    <w:rsid w:val="5976685C"/>
    <w:rsid w:val="59B6646A"/>
    <w:rsid w:val="5AE2405A"/>
    <w:rsid w:val="5B7C6288"/>
    <w:rsid w:val="5C953A71"/>
    <w:rsid w:val="5CFF1879"/>
    <w:rsid w:val="5D4220DE"/>
    <w:rsid w:val="5D850140"/>
    <w:rsid w:val="5DC24AC1"/>
    <w:rsid w:val="5E3B1860"/>
    <w:rsid w:val="5E9D1F01"/>
    <w:rsid w:val="5F943BE2"/>
    <w:rsid w:val="60294D39"/>
    <w:rsid w:val="62865747"/>
    <w:rsid w:val="63FD7528"/>
    <w:rsid w:val="64286804"/>
    <w:rsid w:val="64F748EF"/>
    <w:rsid w:val="65BC3F30"/>
    <w:rsid w:val="661F5567"/>
    <w:rsid w:val="664F04BC"/>
    <w:rsid w:val="6658365C"/>
    <w:rsid w:val="66DC1E09"/>
    <w:rsid w:val="66F769F9"/>
    <w:rsid w:val="675C1812"/>
    <w:rsid w:val="68EE178B"/>
    <w:rsid w:val="69184E88"/>
    <w:rsid w:val="69D12BD7"/>
    <w:rsid w:val="6A1D6AD4"/>
    <w:rsid w:val="6A9745DC"/>
    <w:rsid w:val="6AEA7BE4"/>
    <w:rsid w:val="6AF70004"/>
    <w:rsid w:val="6B4564C6"/>
    <w:rsid w:val="6CB35A65"/>
    <w:rsid w:val="6D152718"/>
    <w:rsid w:val="6DA93118"/>
    <w:rsid w:val="6DBA326B"/>
    <w:rsid w:val="6DCD40CA"/>
    <w:rsid w:val="6E1E2FF0"/>
    <w:rsid w:val="6E977B36"/>
    <w:rsid w:val="6EF748FC"/>
    <w:rsid w:val="6F666500"/>
    <w:rsid w:val="6F752D5A"/>
    <w:rsid w:val="6FA819AB"/>
    <w:rsid w:val="72E74EF3"/>
    <w:rsid w:val="734E2E35"/>
    <w:rsid w:val="74391E34"/>
    <w:rsid w:val="749129C8"/>
    <w:rsid w:val="774273B0"/>
    <w:rsid w:val="78603977"/>
    <w:rsid w:val="78EA0034"/>
    <w:rsid w:val="79C1586B"/>
    <w:rsid w:val="7A083B12"/>
    <w:rsid w:val="7AEE634C"/>
    <w:rsid w:val="7D85588A"/>
    <w:rsid w:val="7DB82DE4"/>
    <w:rsid w:val="7DD82326"/>
    <w:rsid w:val="7E3D0026"/>
    <w:rsid w:val="7E4200C1"/>
    <w:rsid w:val="7E524708"/>
    <w:rsid w:val="7E8369A0"/>
    <w:rsid w:val="7EED301C"/>
    <w:rsid w:val="7EF17F6F"/>
    <w:rsid w:val="7F3E03ED"/>
    <w:rsid w:val="7FA15D43"/>
    <w:rsid w:val="7FDA1CCC"/>
    <w:rsid w:val="F7FFD1E7"/>
    <w:rsid w:val="FFEDA4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footer"/>
    <w:basedOn w:val="1"/>
    <w:link w:val="17"/>
    <w:qFormat/>
    <w:uiPriority w:val="0"/>
    <w:pPr>
      <w:tabs>
        <w:tab w:val="center" w:pos="4153"/>
        <w:tab w:val="right" w:pos="8306"/>
      </w:tabs>
      <w:snapToGrid w:val="0"/>
      <w:jc w:val="left"/>
    </w:pPr>
    <w:rPr>
      <w:sz w:val="18"/>
      <w:szCs w:val="18"/>
    </w:rPr>
  </w:style>
  <w:style w:type="paragraph" w:styleId="4">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fontstyle01"/>
    <w:basedOn w:val="6"/>
    <w:qFormat/>
    <w:uiPriority w:val="0"/>
    <w:rPr>
      <w:rFonts w:ascii="FZXBSK--GBK1-0" w:hAnsi="FZXBSK--GBK1-0" w:eastAsia="FZXBSK--GBK1-0" w:cs="FZXBSK--GBK1-0"/>
      <w:color w:val="EE1D25"/>
      <w:sz w:val="62"/>
      <w:szCs w:val="62"/>
    </w:rPr>
  </w:style>
  <w:style w:type="character" w:customStyle="1" w:styleId="8">
    <w:name w:val="fontstyle21"/>
    <w:basedOn w:val="6"/>
    <w:qFormat/>
    <w:uiPriority w:val="0"/>
    <w:rPr>
      <w:rFonts w:ascii="FZFSK--GBK1-0" w:hAnsi="FZFSK--GBK1-0" w:eastAsia="FZFSK--GBK1-0" w:cs="FZFSK--GBK1-0"/>
      <w:color w:val="000000"/>
      <w:sz w:val="30"/>
      <w:szCs w:val="30"/>
    </w:rPr>
  </w:style>
  <w:style w:type="character" w:customStyle="1" w:styleId="9">
    <w:name w:val="fontstyle31"/>
    <w:basedOn w:val="6"/>
    <w:qFormat/>
    <w:uiPriority w:val="0"/>
    <w:rPr>
      <w:rFonts w:ascii="E-BX" w:hAnsi="E-BX" w:eastAsia="E-BX" w:cs="E-BX"/>
      <w:color w:val="000000"/>
      <w:sz w:val="30"/>
      <w:szCs w:val="30"/>
    </w:rPr>
  </w:style>
  <w:style w:type="character" w:customStyle="1" w:styleId="10">
    <w:name w:val="fontstyle41"/>
    <w:basedOn w:val="6"/>
    <w:qFormat/>
    <w:uiPriority w:val="0"/>
    <w:rPr>
      <w:rFonts w:ascii="E-BZ" w:hAnsi="E-BZ" w:eastAsia="E-BZ" w:cs="E-BZ"/>
      <w:color w:val="000000"/>
      <w:sz w:val="30"/>
      <w:szCs w:val="30"/>
    </w:rPr>
  </w:style>
  <w:style w:type="character" w:customStyle="1" w:styleId="11">
    <w:name w:val="fontstyle51"/>
    <w:basedOn w:val="6"/>
    <w:qFormat/>
    <w:uiPriority w:val="0"/>
    <w:rPr>
      <w:rFonts w:ascii="FZHTK--GBK1-0" w:hAnsi="FZHTK--GBK1-0" w:eastAsia="FZHTK--GBK1-0" w:cs="FZHTK--GBK1-0"/>
      <w:color w:val="000000"/>
      <w:sz w:val="30"/>
      <w:szCs w:val="30"/>
    </w:rPr>
  </w:style>
  <w:style w:type="character" w:customStyle="1" w:styleId="12">
    <w:name w:val="fontstyle61"/>
    <w:basedOn w:val="6"/>
    <w:qFormat/>
    <w:uiPriority w:val="0"/>
    <w:rPr>
      <w:rFonts w:ascii="E-FZ" w:hAnsi="E-FZ" w:eastAsia="E-FZ" w:cs="E-FZ"/>
      <w:color w:val="000000"/>
      <w:sz w:val="30"/>
      <w:szCs w:val="30"/>
    </w:rPr>
  </w:style>
  <w:style w:type="character" w:customStyle="1" w:styleId="13">
    <w:name w:val="fontstyle71"/>
    <w:basedOn w:val="6"/>
    <w:qFormat/>
    <w:uiPriority w:val="0"/>
    <w:rPr>
      <w:rFonts w:ascii="E-B6" w:hAnsi="E-B6" w:eastAsia="E-B6" w:cs="E-B6"/>
      <w:color w:val="000000"/>
      <w:sz w:val="30"/>
      <w:szCs w:val="30"/>
    </w:rPr>
  </w:style>
  <w:style w:type="character" w:customStyle="1" w:styleId="14">
    <w:name w:val="fontstyle81"/>
    <w:basedOn w:val="6"/>
    <w:qFormat/>
    <w:uiPriority w:val="0"/>
    <w:rPr>
      <w:rFonts w:ascii="FZKTK--GBK1-0" w:hAnsi="FZKTK--GBK1-0" w:eastAsia="FZKTK--GBK1-0" w:cs="FZKTK--GBK1-0"/>
      <w:color w:val="000000"/>
      <w:sz w:val="30"/>
      <w:szCs w:val="30"/>
    </w:rPr>
  </w:style>
  <w:style w:type="character" w:customStyle="1" w:styleId="15">
    <w:name w:val="fontstyle11"/>
    <w:basedOn w:val="6"/>
    <w:qFormat/>
    <w:uiPriority w:val="0"/>
    <w:rPr>
      <w:rFonts w:ascii="E-BX" w:hAnsi="E-BX" w:eastAsia="E-BX" w:cs="E-BX"/>
      <w:color w:val="000000"/>
      <w:sz w:val="30"/>
      <w:szCs w:val="30"/>
    </w:rPr>
  </w:style>
  <w:style w:type="character" w:customStyle="1" w:styleId="16">
    <w:name w:val="页眉 Char"/>
    <w:basedOn w:val="6"/>
    <w:link w:val="4"/>
    <w:qFormat/>
    <w:uiPriority w:val="0"/>
    <w:rPr>
      <w:rFonts w:asciiTheme="minorHAnsi" w:hAnsiTheme="minorHAnsi" w:eastAsiaTheme="minorEastAsia" w:cstheme="minorBidi"/>
      <w:kern w:val="2"/>
      <w:sz w:val="18"/>
      <w:szCs w:val="18"/>
    </w:rPr>
  </w:style>
  <w:style w:type="character" w:customStyle="1" w:styleId="17">
    <w:name w:val="页脚 Char"/>
    <w:basedOn w:val="6"/>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2524</Words>
  <Characters>2552</Characters>
  <Lines>18</Lines>
  <Paragraphs>5</Paragraphs>
  <TotalTime>75</TotalTime>
  <ScaleCrop>false</ScaleCrop>
  <LinksUpToDate>false</LinksUpToDate>
  <CharactersWithSpaces>2589</CharactersWithSpaces>
  <Application>WPS Office_11.8.2.10170_F1E327BC-269C-435d-A152-05C5408002CA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user</dc:creator>
  <cp:lastModifiedBy>root</cp:lastModifiedBy>
  <cp:lastPrinted>2022-06-06T20:30:00Z</cp:lastPrinted>
  <dcterms:modified xsi:type="dcterms:W3CDTF">2022-06-13T15:04:38Z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2052-11.8.2.10170</vt:lpwstr>
  </property>
  <property fmtid="{D5CDD505-2E9C-101B-9397-08002B2CF9AE}" pid="3" name="ICV">
    <vt:lpwstr>E147F280052C4DEABB21027B583B82FA</vt:lpwstr>
  </property>
  <property fmtid="{D5CDD505-2E9C-101B-9397-08002B2CF9AE}" pid="4" name="woTemplateTypoMode" linkTarget="0">
    <vt:lpwstr>web</vt:lpwstr>
  </property>
  <property fmtid="{D5CDD505-2E9C-101B-9397-08002B2CF9AE}" pid="5" name="woTemplate" linkTarget="0">
    <vt:i4>1</vt:i4>
  </property>
</Properties>
</file>